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обучении русскому языку и литературе</w:t>
            </w:r>
          </w:p>
          <w:p>
            <w:pPr>
              <w:jc w:val="center"/>
              <w:spacing w:after="0" w:line="240" w:lineRule="auto"/>
              <w:rPr>
                <w:sz w:val="32"/>
                <w:szCs w:val="32"/>
              </w:rPr>
            </w:pPr>
            <w:r>
              <w:rPr>
                <w:rFonts w:ascii="Times New Roman" w:hAnsi="Times New Roman" w:cs="Times New Roman"/>
                <w:color w:val="#000000"/>
                <w:sz w:val="32"/>
                <w:szCs w:val="32"/>
              </w:rPr>
              <w:t> </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29.8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обучении русскому языку и литературе</w:t>
            </w:r>
          </w:p>
          <w:p>
            <w:pPr>
              <w:jc w:val="both"/>
              <w:spacing w:after="0" w:line="240" w:lineRule="auto"/>
              <w:rPr>
                <w:sz w:val="24"/>
                <w:szCs w:val="24"/>
              </w:rPr>
            </w:pPr>
            <w:r>
              <w:rPr>
                <w:rFonts w:ascii="Times New Roman" w:hAnsi="Times New Roman" w:cs="Times New Roman"/>
                <w:color w:val="#000000"/>
                <w:sz w:val="24"/>
                <w:szCs w:val="24"/>
              </w:rPr>
              <w:t>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«Информационно- коммуникационные технологии в обучении русскому языку и литературе</w:t>
            </w:r>
          </w:p>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 коммуникационные технологии в обучении русскому языку и литературе</w:t>
            </w:r>
          </w:p>
          <w:p>
            <w:pPr>
              <w:jc w:val="both"/>
              <w:spacing w:after="0" w:line="240" w:lineRule="auto"/>
              <w:rPr>
                <w:sz w:val="24"/>
                <w:szCs w:val="24"/>
              </w:rPr>
            </w:pPr>
            <w:r>
              <w:rPr>
                <w:rFonts w:ascii="Times New Roman" w:hAnsi="Times New Roman" w:cs="Times New Roman"/>
                <w:color w:val="#000000"/>
                <w:sz w:val="24"/>
                <w:szCs w:val="24"/>
              </w:rPr>
              <w:t>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2478.2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«Информационно- коммуникационные технологии в обучении русскому языку и литературе</w:t>
            </w:r>
          </w:p>
          <w:p>
            <w:pPr>
              <w:jc w:val="both"/>
              <w:spacing w:after="0" w:line="240" w:lineRule="auto"/>
              <w:rPr>
                <w:sz w:val="24"/>
                <w:szCs w:val="24"/>
              </w:rPr>
            </w:pPr>
            <w:r>
              <w:rPr>
                <w:rFonts w:ascii="Times New Roman" w:hAnsi="Times New Roman" w:cs="Times New Roman"/>
                <w:color w:val="#000000"/>
                <w:sz w:val="24"/>
                <w:szCs w:val="24"/>
              </w:rPr>
              <w:t> »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 и информационно - коммуникационные технологии	</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	</w:t>
            </w:r>
          </w:p>
          <w:p>
            <w:pPr>
              <w:jc w:val="center"/>
              <w:spacing w:after="0" w:line="240" w:lineRule="auto"/>
              <w:rPr>
                <w:sz w:val="22"/>
                <w:szCs w:val="22"/>
              </w:rPr>
            </w:pPr>
            <w:r>
              <w:rPr>
                <w:rFonts w:ascii="Times New Roman" w:hAnsi="Times New Roman" w:cs="Times New Roman"/>
                <w:color w:val="#000000"/>
                <w:sz w:val="22"/>
                <w:szCs w:val="22"/>
              </w:rPr>
              <w:t>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понятия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использования ИКТ в обучении русскому языку и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целесообразность использования ИКТ в обучении русскому языку и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Возможности ИКТ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документы сферы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ФГОС нового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Инструменты для создания учебно-методических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Дидактические возможности офисных пактов.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Возможности текстового редактора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Табличный процессор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для создания и демонстрации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для создания графических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программы как эффективный фактор усвоения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Электронные издания и компьютерные обучающие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Соотношение понятий: электронное издание, КОП, ЦОР, ЭОР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обучающих программ и инструменты для создания электронных учебников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работы с КОП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работы с КОП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потенциал ЭОР и обучающих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тестовых систем в профессиональной деятельности учителя русского языка и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Интернет-ресурсы для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и приемы использования интернет-ресурсов при обучении русскому языку и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материалы в сети Интернет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Словари, словарные базы данных и энциклопедии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использования интернет-ресурсов в обучении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Дистанционное обучение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Внеклассная работа с использованием ИКТ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Элективные курсы по русскому языку и литературе и другие виды внеклассной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дистанционных курсов.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Возможности элективных курсов в повышении качества образования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Внеклассная работа, как фактор сплочения группы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428.2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основы использования ИКТ в обучении русскому языку и литературе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Научные основы использования ИКТ в обучении русскому языку и литературе. Отрасли науки: информационная</w:t>
            </w:r>
          </w:p>
          <w:p>
            <w:pPr>
              <w:jc w:val="both"/>
              <w:spacing w:after="0" w:line="240" w:lineRule="auto"/>
              <w:rPr>
                <w:sz w:val="24"/>
                <w:szCs w:val="24"/>
              </w:rPr>
            </w:pPr>
            <w:r>
              <w:rPr>
                <w:rFonts w:ascii="Times New Roman" w:hAnsi="Times New Roman" w:cs="Times New Roman"/>
                <w:color w:val="#000000"/>
                <w:sz w:val="24"/>
                <w:szCs w:val="24"/>
              </w:rPr>
              <w:t> педагогика, компьютерная лингводидактика (с одной стороны) и прикладная лингвистика,</w:t>
            </w:r>
          </w:p>
          <w:p>
            <w:pPr>
              <w:jc w:val="both"/>
              <w:spacing w:after="0" w:line="240" w:lineRule="auto"/>
              <w:rPr>
                <w:sz w:val="24"/>
                <w:szCs w:val="24"/>
              </w:rPr>
            </w:pPr>
            <w:r>
              <w:rPr>
                <w:rFonts w:ascii="Times New Roman" w:hAnsi="Times New Roman" w:cs="Times New Roman"/>
                <w:color w:val="#000000"/>
                <w:sz w:val="24"/>
                <w:szCs w:val="24"/>
              </w:rPr>
              <w:t> компьютерная лингвистика (с другой). Проблематика и понятийный аппарат этих наук.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ИКТ</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ИКТ. Классификации ИКТ на разных основаниях.</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целесообразность использования ИКТ в обучении русскому языку и литературе.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Педагогическая целесообразность использования ИКТ при обучении русскому языку и оитературе. «Плюсы» и «минусы»</w:t>
            </w:r>
          </w:p>
          <w:p>
            <w:pPr>
              <w:jc w:val="both"/>
              <w:spacing w:after="0" w:line="240" w:lineRule="auto"/>
              <w:rPr>
                <w:sz w:val="24"/>
                <w:szCs w:val="24"/>
              </w:rPr>
            </w:pPr>
            <w:r>
              <w:rPr>
                <w:rFonts w:ascii="Times New Roman" w:hAnsi="Times New Roman" w:cs="Times New Roman"/>
                <w:color w:val="#000000"/>
                <w:sz w:val="24"/>
                <w:szCs w:val="24"/>
              </w:rPr>
              <w:t> применения ИКТ в обучении русскому языку и литературе (доводы «за» и «против»).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Дидактические возможности офисных пактов.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Возможности различных редакторов в преподавании русского языка и литературы.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Соотношение понятий: электронное издание, КОП, ЦОР, ЭОР</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понятий: электронное издание, КОП, ЦОР, ЭОР. Понятие электронного издания.</w:t>
            </w:r>
          </w:p>
          <w:p>
            <w:pPr>
              <w:jc w:val="both"/>
              <w:spacing w:after="0" w:line="240" w:lineRule="auto"/>
              <w:rPr>
                <w:sz w:val="24"/>
                <w:szCs w:val="24"/>
              </w:rPr>
            </w:pPr>
            <w:r>
              <w:rPr>
                <w:rFonts w:ascii="Times New Roman" w:hAnsi="Times New Roman" w:cs="Times New Roman"/>
                <w:color w:val="#000000"/>
                <w:sz w:val="24"/>
                <w:szCs w:val="24"/>
              </w:rPr>
              <w:t> Классификации электронных изданий по разным основаниям. Виды учебных электронных изданий (учебники, задачники, практикумы, хрестоматии и т.д.). Преимущества электронных изданий перед</w:t>
            </w:r>
          </w:p>
          <w:p>
            <w:pPr>
              <w:jc w:val="both"/>
              <w:spacing w:after="0" w:line="240" w:lineRule="auto"/>
              <w:rPr>
                <w:sz w:val="24"/>
                <w:szCs w:val="24"/>
              </w:rPr>
            </w:pPr>
            <w:r>
              <w:rPr>
                <w:rFonts w:ascii="Times New Roman" w:hAnsi="Times New Roman" w:cs="Times New Roman"/>
                <w:color w:val="#000000"/>
                <w:sz w:val="24"/>
                <w:szCs w:val="24"/>
              </w:rPr>
              <w:t> печатными. Понятие электронного учебника. История развития электронных учебников.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обучающих программ и инструменты для создания электронных учебников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обучающих программ. Классификации компьютерных обучающих программ по разным</w:t>
            </w:r>
          </w:p>
          <w:p>
            <w:pPr>
              <w:jc w:val="both"/>
              <w:spacing w:after="0" w:line="240" w:lineRule="auto"/>
              <w:rPr>
                <w:sz w:val="24"/>
                <w:szCs w:val="24"/>
              </w:rPr>
            </w:pPr>
            <w:r>
              <w:rPr>
                <w:rFonts w:ascii="Times New Roman" w:hAnsi="Times New Roman" w:cs="Times New Roman"/>
                <w:color w:val="#000000"/>
                <w:sz w:val="24"/>
                <w:szCs w:val="24"/>
              </w:rPr>
              <w:t> основаниям. Типы обучающих программ: учебники, задачники, репетиторы, тренажеры. Инструменты для создания электронных учебников. Методика создания электронной книги. Требования</w:t>
            </w:r>
          </w:p>
          <w:p>
            <w:pPr>
              <w:jc w:val="both"/>
              <w:spacing w:after="0" w:line="240" w:lineRule="auto"/>
              <w:rPr>
                <w:sz w:val="24"/>
                <w:szCs w:val="24"/>
              </w:rPr>
            </w:pPr>
            <w:r>
              <w:rPr>
                <w:rFonts w:ascii="Times New Roman" w:hAnsi="Times New Roman" w:cs="Times New Roman"/>
                <w:color w:val="#000000"/>
                <w:sz w:val="24"/>
                <w:szCs w:val="24"/>
              </w:rPr>
              <w:t> к составлению электронных учебников. Инструменты для создания электронной книги и средства их</w:t>
            </w:r>
          </w:p>
          <w:p>
            <w:pPr>
              <w:jc w:val="both"/>
              <w:spacing w:after="0" w:line="240" w:lineRule="auto"/>
              <w:rPr>
                <w:sz w:val="24"/>
                <w:szCs w:val="24"/>
              </w:rPr>
            </w:pPr>
            <w:r>
              <w:rPr>
                <w:rFonts w:ascii="Times New Roman" w:hAnsi="Times New Roman" w:cs="Times New Roman"/>
                <w:color w:val="#000000"/>
                <w:sz w:val="24"/>
                <w:szCs w:val="24"/>
              </w:rPr>
              <w:t> просмотра.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методы и приемы использования интернет-ресурсов при обучении русскому языку и литературе.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методы и приемы использования интернет-ресурсов при обучении русскому языку и литературе. Основные</w:t>
            </w:r>
          </w:p>
          <w:p>
            <w:pPr>
              <w:jc w:val="both"/>
              <w:spacing w:after="0" w:line="240" w:lineRule="auto"/>
              <w:rPr>
                <w:sz w:val="24"/>
                <w:szCs w:val="24"/>
              </w:rPr>
            </w:pPr>
            <w:r>
              <w:rPr>
                <w:rFonts w:ascii="Times New Roman" w:hAnsi="Times New Roman" w:cs="Times New Roman"/>
                <w:color w:val="#000000"/>
                <w:sz w:val="24"/>
                <w:szCs w:val="24"/>
              </w:rPr>
              <w:t> методические принципы. Разработка модели занятия с использованием Интернет- ресурсов.</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материалы в сети Интернет
.</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материалы в сети Интернет. Поиск методических разработок в сети Интернет. Анализ</w:t>
            </w:r>
          </w:p>
          <w:p>
            <w:pPr>
              <w:jc w:val="both"/>
              <w:spacing w:after="0" w:line="240" w:lineRule="auto"/>
              <w:rPr>
                <w:sz w:val="24"/>
                <w:szCs w:val="24"/>
              </w:rPr>
            </w:pPr>
            <w:r>
              <w:rPr>
                <w:rFonts w:ascii="Times New Roman" w:hAnsi="Times New Roman" w:cs="Times New Roman"/>
                <w:color w:val="#000000"/>
                <w:sz w:val="24"/>
                <w:szCs w:val="24"/>
              </w:rPr>
              <w:t> имеющихся методических разработок. Виртуальные методические объединения учителей -словесников.</w:t>
            </w:r>
          </w:p>
          <w:p>
            <w:pPr>
              <w:jc w:val="both"/>
              <w:spacing w:after="0" w:line="240" w:lineRule="auto"/>
              <w:rPr>
                <w:sz w:val="24"/>
                <w:szCs w:val="24"/>
              </w:rPr>
            </w:pPr>
            <w:r>
              <w:rPr>
                <w:rFonts w:ascii="Times New Roman" w:hAnsi="Times New Roman" w:cs="Times New Roman"/>
                <w:color w:val="#000000"/>
                <w:sz w:val="24"/>
                <w:szCs w:val="24"/>
              </w:rPr>
              <w:t> Сайты научных филологических сообществ и кафедр, индивидуальные странички ученых -филологов.</w:t>
            </w:r>
          </w:p>
          <w:p>
            <w:pPr>
              <w:jc w:val="both"/>
              <w:spacing w:after="0" w:line="240" w:lineRule="auto"/>
              <w:rPr>
                <w:sz w:val="24"/>
                <w:szCs w:val="24"/>
              </w:rPr>
            </w:pPr>
            <w:r>
              <w:rPr>
                <w:rFonts w:ascii="Times New Roman" w:hAnsi="Times New Roman" w:cs="Times New Roman"/>
                <w:color w:val="#000000"/>
                <w:sz w:val="24"/>
                <w:szCs w:val="24"/>
              </w:rPr>
              <w:t> Специфика составления библиографического списка электронных публикаций.Словари, словарные базы данных и энциклопедии. Виртуальные словари в сети Интернет, возможности</w:t>
            </w:r>
          </w:p>
          <w:p>
            <w:pPr>
              <w:jc w:val="both"/>
              <w:spacing w:after="0" w:line="240" w:lineRule="auto"/>
              <w:rPr>
                <w:sz w:val="24"/>
                <w:szCs w:val="24"/>
              </w:rPr>
            </w:pPr>
            <w:r>
              <w:rPr>
                <w:rFonts w:ascii="Times New Roman" w:hAnsi="Times New Roman" w:cs="Times New Roman"/>
                <w:color w:val="#000000"/>
                <w:sz w:val="24"/>
                <w:szCs w:val="24"/>
              </w:rPr>
              <w:t> их применения в обучении языку. Филология в электронных энциклопедиях: энциклопедия</w:t>
            </w:r>
          </w:p>
          <w:p>
            <w:pPr>
              <w:jc w:val="both"/>
              <w:spacing w:after="0" w:line="240" w:lineRule="auto"/>
              <w:rPr>
                <w:sz w:val="24"/>
                <w:szCs w:val="24"/>
              </w:rPr>
            </w:pPr>
            <w:r>
              <w:rPr>
                <w:rFonts w:ascii="Times New Roman" w:hAnsi="Times New Roman" w:cs="Times New Roman"/>
                <w:color w:val="#000000"/>
                <w:sz w:val="24"/>
                <w:szCs w:val="24"/>
              </w:rPr>
              <w:t> «Кругосвет», Литературная энциклопедия, Энциклопедический словарь Брокгауза и Ефрона и др.</w:t>
            </w:r>
          </w:p>
          <w:p>
            <w:pPr>
              <w:jc w:val="both"/>
              <w:spacing w:after="0" w:line="240" w:lineRule="auto"/>
              <w:rPr>
                <w:sz w:val="24"/>
                <w:szCs w:val="24"/>
              </w:rPr>
            </w:pPr>
            <w:r>
              <w:rPr>
                <w:rFonts w:ascii="Times New Roman" w:hAnsi="Times New Roman" w:cs="Times New Roman"/>
                <w:color w:val="#000000"/>
                <w:sz w:val="24"/>
                <w:szCs w:val="24"/>
              </w:rPr>
              <w:t> Справочник издателя. Автоматизированные системы перевода.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Элективные курсы по русскому языку и литературе и другие виды внеклассной работы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Элективные курсы по русскому языку и литературе. Деловой русский язык. Культура речи. Деловой этикет.</w:t>
            </w:r>
          </w:p>
          <w:p>
            <w:pPr>
              <w:jc w:val="both"/>
              <w:spacing w:after="0" w:line="240" w:lineRule="auto"/>
              <w:rPr>
                <w:sz w:val="24"/>
                <w:szCs w:val="24"/>
              </w:rPr>
            </w:pPr>
            <w:r>
              <w:rPr>
                <w:rFonts w:ascii="Times New Roman" w:hAnsi="Times New Roman" w:cs="Times New Roman"/>
                <w:color w:val="#000000"/>
                <w:sz w:val="24"/>
                <w:szCs w:val="24"/>
              </w:rPr>
              <w:t> Лингвокультурология. Риторика. Лингвокраеведение. Олимпиады, викторины, конкурсы учебных проектов, учебнонаучные конференции. Занимательные задачи по русскому языку и литературе.</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Возможности ИКТ в современном мире.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Возможности текстового редактора Microsoft Word</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Возможности текстового редактора Microsoft Word. Подготовка раздаточного материала. Схемы и</w:t>
            </w:r>
          </w:p>
          <w:p>
            <w:pPr>
              <w:jc w:val="both"/>
              <w:spacing w:after="0" w:line="240" w:lineRule="auto"/>
              <w:rPr>
                <w:sz w:val="24"/>
                <w:szCs w:val="24"/>
              </w:rPr>
            </w:pPr>
            <w:r>
              <w:rPr>
                <w:rFonts w:ascii="Times New Roman" w:hAnsi="Times New Roman" w:cs="Times New Roman"/>
                <w:color w:val="#000000"/>
                <w:sz w:val="24"/>
                <w:szCs w:val="24"/>
              </w:rPr>
              <w:t> таблицы на основе Microsoft Word. Тесты в редакторе Microsoft Word. Понятие теста. Требования к</w:t>
            </w:r>
          </w:p>
          <w:p>
            <w:pPr>
              <w:jc w:val="both"/>
              <w:spacing w:after="0" w:line="240" w:lineRule="auto"/>
              <w:rPr>
                <w:sz w:val="24"/>
                <w:szCs w:val="24"/>
              </w:rPr>
            </w:pPr>
            <w:r>
              <w:rPr>
                <w:rFonts w:ascii="Times New Roman" w:hAnsi="Times New Roman" w:cs="Times New Roman"/>
                <w:color w:val="#000000"/>
                <w:sz w:val="24"/>
                <w:szCs w:val="24"/>
              </w:rPr>
              <w:t> тесту. Виды тестов. Правила составления тестов. Составление разных типов документов на основе шаблонов Microsoft Word (резюме, протокол, письмо,</w:t>
            </w:r>
          </w:p>
          <w:p>
            <w:pPr>
              <w:jc w:val="both"/>
              <w:spacing w:after="0" w:line="240" w:lineRule="auto"/>
              <w:rPr>
                <w:sz w:val="24"/>
                <w:szCs w:val="24"/>
              </w:rPr>
            </w:pPr>
            <w:r>
              <w:rPr>
                <w:rFonts w:ascii="Times New Roman" w:hAnsi="Times New Roman" w:cs="Times New Roman"/>
                <w:color w:val="#000000"/>
                <w:sz w:val="24"/>
                <w:szCs w:val="24"/>
              </w:rPr>
              <w:t> контракт, визитка, брошюра, открытка, календарь и др.).</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Табличный процессор Microsoft Excel.</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Табличный процессор Microsoft Excel. Составление таблиц и диаграмм и графиков разных видов.</w:t>
            </w:r>
          </w:p>
          <w:p>
            <w:pPr>
              <w:jc w:val="both"/>
              <w:spacing w:after="0" w:line="240" w:lineRule="auto"/>
              <w:rPr>
                <w:sz w:val="24"/>
                <w:szCs w:val="24"/>
              </w:rPr>
            </w:pPr>
            <w:r>
              <w:rPr>
                <w:rFonts w:ascii="Times New Roman" w:hAnsi="Times New Roman" w:cs="Times New Roman"/>
                <w:color w:val="#000000"/>
                <w:sz w:val="24"/>
                <w:szCs w:val="24"/>
              </w:rPr>
              <w:t> Программирование «работающих» тестов с использованием основных функций, предлагаемых</w:t>
            </w:r>
          </w:p>
          <w:p>
            <w:pPr>
              <w:jc w:val="both"/>
              <w:spacing w:after="0" w:line="240" w:lineRule="auto"/>
              <w:rPr>
                <w:sz w:val="24"/>
                <w:szCs w:val="24"/>
              </w:rPr>
            </w:pPr>
            <w:r>
              <w:rPr>
                <w:rFonts w:ascii="Times New Roman" w:hAnsi="Times New Roman" w:cs="Times New Roman"/>
                <w:color w:val="#000000"/>
                <w:sz w:val="24"/>
                <w:szCs w:val="24"/>
              </w:rPr>
              <w:t> процессором</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для создания и демонстрации презентаций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Инструменты для создания и демонстрации презентаций. Понятия презентации и демонстрации.</w:t>
            </w:r>
          </w:p>
          <w:p>
            <w:pPr>
              <w:jc w:val="both"/>
              <w:spacing w:after="0" w:line="240" w:lineRule="auto"/>
              <w:rPr>
                <w:sz w:val="24"/>
                <w:szCs w:val="24"/>
              </w:rPr>
            </w:pPr>
            <w:r>
              <w:rPr>
                <w:rFonts w:ascii="Times New Roman" w:hAnsi="Times New Roman" w:cs="Times New Roman"/>
                <w:color w:val="#000000"/>
                <w:sz w:val="24"/>
                <w:szCs w:val="24"/>
              </w:rPr>
              <w:t> Требования к презентации. Методика составления презентаций. Разработка урока- презентации в средах</w:t>
            </w:r>
          </w:p>
          <w:p>
            <w:pPr>
              <w:jc w:val="both"/>
              <w:spacing w:after="0" w:line="240" w:lineRule="auto"/>
              <w:rPr>
                <w:sz w:val="24"/>
                <w:szCs w:val="24"/>
              </w:rPr>
            </w:pPr>
            <w:r>
              <w:rPr>
                <w:rFonts w:ascii="Times New Roman" w:hAnsi="Times New Roman" w:cs="Times New Roman"/>
                <w:color w:val="#000000"/>
                <w:sz w:val="24"/>
                <w:szCs w:val="24"/>
              </w:rPr>
              <w:t> Power Point и Prezi.</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для создания графических объектов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Инструменты для создания графических объектов. Идея эйдетизма. Методические и дидактические</w:t>
            </w:r>
          </w:p>
          <w:p>
            <w:pPr>
              <w:jc w:val="both"/>
              <w:spacing w:after="0" w:line="240" w:lineRule="auto"/>
              <w:rPr>
                <w:sz w:val="24"/>
                <w:szCs w:val="24"/>
              </w:rPr>
            </w:pPr>
            <w:r>
              <w:rPr>
                <w:rFonts w:ascii="Times New Roman" w:hAnsi="Times New Roman" w:cs="Times New Roman"/>
                <w:color w:val="#000000"/>
                <w:sz w:val="24"/>
                <w:szCs w:val="24"/>
              </w:rPr>
              <w:t> основы визуализации учебной информации. Понятие опорного конспекта, требования к его</w:t>
            </w:r>
          </w:p>
          <w:p>
            <w:pPr>
              <w:jc w:val="both"/>
              <w:spacing w:after="0" w:line="240" w:lineRule="auto"/>
              <w:rPr>
                <w:sz w:val="24"/>
                <w:szCs w:val="24"/>
              </w:rPr>
            </w:pPr>
            <w:r>
              <w:rPr>
                <w:rFonts w:ascii="Times New Roman" w:hAnsi="Times New Roman" w:cs="Times New Roman"/>
                <w:color w:val="#000000"/>
                <w:sz w:val="24"/>
                <w:szCs w:val="24"/>
              </w:rPr>
              <w:t> составлению, эффективность опорного конспекта в обучении. Понятие инфографики. Работа с</w:t>
            </w:r>
          </w:p>
          <w:p>
            <w:pPr>
              <w:jc w:val="both"/>
              <w:spacing w:after="0" w:line="240" w:lineRule="auto"/>
              <w:rPr>
                <w:sz w:val="24"/>
                <w:szCs w:val="24"/>
              </w:rPr>
            </w:pPr>
            <w:r>
              <w:rPr>
                <w:rFonts w:ascii="Times New Roman" w:hAnsi="Times New Roman" w:cs="Times New Roman"/>
                <w:color w:val="#000000"/>
                <w:sz w:val="24"/>
                <w:szCs w:val="24"/>
              </w:rPr>
              <w:t> графическими объектами. Создание опорных конспектов и учебной инфографики.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приемы работы с КОП по русскому языку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приемы работы с КОП по русскому языку. Основной курс русского языка на основе</w:t>
            </w:r>
          </w:p>
          <w:p>
            <w:pPr>
              <w:jc w:val="both"/>
              <w:spacing w:after="0" w:line="240" w:lineRule="auto"/>
              <w:rPr>
                <w:sz w:val="24"/>
                <w:szCs w:val="24"/>
              </w:rPr>
            </w:pPr>
            <w:r>
              <w:rPr>
                <w:rFonts w:ascii="Times New Roman" w:hAnsi="Times New Roman" w:cs="Times New Roman"/>
                <w:color w:val="#000000"/>
                <w:sz w:val="24"/>
                <w:szCs w:val="24"/>
              </w:rPr>
              <w:t> обучающих программ. Орфография на основе КОП. Пунктуация. Лексика. Синтаксис. Работа по</w:t>
            </w:r>
          </w:p>
          <w:p>
            <w:pPr>
              <w:jc w:val="both"/>
              <w:spacing w:after="0" w:line="240" w:lineRule="auto"/>
              <w:rPr>
                <w:sz w:val="24"/>
                <w:szCs w:val="24"/>
              </w:rPr>
            </w:pPr>
            <w:r>
              <w:rPr>
                <w:rFonts w:ascii="Times New Roman" w:hAnsi="Times New Roman" w:cs="Times New Roman"/>
                <w:color w:val="#000000"/>
                <w:sz w:val="24"/>
                <w:szCs w:val="24"/>
              </w:rPr>
              <w:t> развитию речи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приемы работы с КОП по литературе.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приемы работы с КОП по литературе. Основной курс литературы на основе</w:t>
            </w:r>
          </w:p>
          <w:p>
            <w:pPr>
              <w:jc w:val="both"/>
              <w:spacing w:after="0" w:line="240" w:lineRule="auto"/>
              <w:rPr>
                <w:sz w:val="24"/>
                <w:szCs w:val="24"/>
              </w:rPr>
            </w:pPr>
            <w:r>
              <w:rPr>
                <w:rFonts w:ascii="Times New Roman" w:hAnsi="Times New Roman" w:cs="Times New Roman"/>
                <w:color w:val="#000000"/>
                <w:sz w:val="24"/>
                <w:szCs w:val="24"/>
              </w:rPr>
              <w:t> обучающих программ.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Словари, словарные базы данных и энциклопедии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Словари, словарные базы данных и энциклопедии. Виртуальные словари в сети Интернет, возможности</w:t>
            </w:r>
          </w:p>
          <w:p>
            <w:pPr>
              <w:jc w:val="both"/>
              <w:spacing w:after="0" w:line="240" w:lineRule="auto"/>
              <w:rPr>
                <w:sz w:val="24"/>
                <w:szCs w:val="24"/>
              </w:rPr>
            </w:pPr>
            <w:r>
              <w:rPr>
                <w:rFonts w:ascii="Times New Roman" w:hAnsi="Times New Roman" w:cs="Times New Roman"/>
                <w:color w:val="#000000"/>
                <w:sz w:val="24"/>
                <w:szCs w:val="24"/>
              </w:rPr>
              <w:t> их применения в обучении языку. Филология в электронных энциклопедиях: энциклопедия</w:t>
            </w:r>
          </w:p>
          <w:p>
            <w:pPr>
              <w:jc w:val="both"/>
              <w:spacing w:after="0" w:line="240" w:lineRule="auto"/>
              <w:rPr>
                <w:sz w:val="24"/>
                <w:szCs w:val="24"/>
              </w:rPr>
            </w:pPr>
            <w:r>
              <w:rPr>
                <w:rFonts w:ascii="Times New Roman" w:hAnsi="Times New Roman" w:cs="Times New Roman"/>
                <w:color w:val="#000000"/>
                <w:sz w:val="24"/>
                <w:szCs w:val="24"/>
              </w:rPr>
              <w:t> «Кругосвет», Литературная энциклопедия, Энциклопедический словарь Брокгауза и Ефрона и др.</w:t>
            </w:r>
          </w:p>
          <w:p>
            <w:pPr>
              <w:jc w:val="both"/>
              <w:spacing w:after="0" w:line="240" w:lineRule="auto"/>
              <w:rPr>
                <w:sz w:val="24"/>
                <w:szCs w:val="24"/>
              </w:rPr>
            </w:pPr>
            <w:r>
              <w:rPr>
                <w:rFonts w:ascii="Times New Roman" w:hAnsi="Times New Roman" w:cs="Times New Roman"/>
                <w:color w:val="#000000"/>
                <w:sz w:val="24"/>
                <w:szCs w:val="24"/>
              </w:rPr>
              <w:t> Справочник издателя. Автоматизированные системы перевода.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создания дистанционных курсов.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создания дистанционных курсов.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документы сферы образования.</w:t>
            </w:r>
          </w:p>
        </w:tc>
      </w:tr>
      <w:tr>
        <w:trPr>
          <w:trHeight w:hRule="exact" w:val="21.31518"/>
        </w:trPr>
        <w:tc>
          <w:tcPr>
            <w:tcW w:w="9640" w:type="dxa"/>
          </w:tcPr>
          <w:p/>
        </w:tc>
      </w:tr>
      <w:tr>
        <w:trPr>
          <w:trHeight w:hRule="exact" w:val="526.40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документы сферы образования. Образовательные стандарты, учебные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и иная</w:t>
            </w:r>
          </w:p>
          <w:p>
            <w:pPr>
              <w:jc w:val="left"/>
              <w:spacing w:after="0" w:line="240" w:lineRule="auto"/>
              <w:rPr>
                <w:sz w:val="24"/>
                <w:szCs w:val="24"/>
              </w:rPr>
            </w:pPr>
            <w:r>
              <w:rPr>
                <w:rFonts w:ascii="Times New Roman" w:hAnsi="Times New Roman" w:cs="Times New Roman"/>
                <w:color w:val="#000000"/>
                <w:sz w:val="24"/>
                <w:szCs w:val="24"/>
              </w:rPr>
              <w:t> документация сферы образования.</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ФГОС нового поколения.</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ФГОС нового поколения, подходы к обучению в аспекте ФГОС. ИКТ: условия реализации в рамках ФГОС. Мультимедиа-ресурсы и их связь с ИКТ.</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Прикладные программы как эффективный фактор усвоения знаний.</w:t>
            </w:r>
          </w:p>
        </w:tc>
      </w:tr>
      <w:tr>
        <w:trPr>
          <w:trHeight w:hRule="exact" w:val="21.31495"/>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потенциал ЭОР и обучающих информационных систем.</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тестовых систем в профессиональной деятельности учителя русского языка и литературы.</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использования интернет-ресурсов в обучении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использования интернет-ресурсов в обучении. Правило одной трудности при использовании</w:t>
            </w:r>
          </w:p>
          <w:p>
            <w:pPr>
              <w:jc w:val="left"/>
              <w:spacing w:after="0" w:line="240" w:lineRule="auto"/>
              <w:rPr>
                <w:sz w:val="24"/>
                <w:szCs w:val="24"/>
              </w:rPr>
            </w:pPr>
            <w:r>
              <w:rPr>
                <w:rFonts w:ascii="Times New Roman" w:hAnsi="Times New Roman" w:cs="Times New Roman"/>
                <w:color w:val="#000000"/>
                <w:sz w:val="24"/>
                <w:szCs w:val="24"/>
              </w:rPr>
              <w:t> интернет-ресурсов. Поиск информации в интернете: поисковые системы интернета, технология поиска</w:t>
            </w:r>
          </w:p>
          <w:p>
            <w:pPr>
              <w:jc w:val="left"/>
              <w:spacing w:after="0" w:line="240" w:lineRule="auto"/>
              <w:rPr>
                <w:sz w:val="24"/>
                <w:szCs w:val="24"/>
              </w:rPr>
            </w:pPr>
            <w:r>
              <w:rPr>
                <w:rFonts w:ascii="Times New Roman" w:hAnsi="Times New Roman" w:cs="Times New Roman"/>
                <w:color w:val="#000000"/>
                <w:sz w:val="24"/>
                <w:szCs w:val="24"/>
              </w:rPr>
              <w:t> (умение подбирать ключевые слова с целью эффективного поиска филологической информации).</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Дистанционное обучение русскому языку</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особенности дистанционного обучения. Основные интернет-площадки дистанционного обучения русскому языку и литературе.</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Возможности элективных курсов в повышении качества образования обучающихся.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Внеклассная работа, как фактор сплочения группы обучающихся.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обучении русскому языку и литературе</w:t>
            </w:r>
          </w:p>
          <w:p>
            <w:pPr>
              <w:jc w:val="left"/>
              <w:spacing w:after="0" w:line="240" w:lineRule="auto"/>
              <w:rPr>
                <w:sz w:val="24"/>
                <w:szCs w:val="24"/>
              </w:rPr>
            </w:pPr>
            <w:r>
              <w:rPr>
                <w:rFonts w:ascii="Times New Roman" w:hAnsi="Times New Roman" w:cs="Times New Roman"/>
                <w:color w:val="#000000"/>
                <w:sz w:val="24"/>
                <w:szCs w:val="24"/>
              </w:rPr>
              <w:t> »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https://urait.ru/bcode/468473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https://urait.ru/bcode/472375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Саратовский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Ю.А.</w:t>
            </w:r>
            <w:r>
              <w:rPr/>
              <w:t xml:space="preserve"> </w:t>
            </w:r>
            <w:r>
              <w:rPr>
                <w:rFonts w:ascii="Times New Roman" w:hAnsi="Times New Roman" w:cs="Times New Roman"/>
                <w:color w:val="#000000"/>
                <w:sz w:val="24"/>
                <w:szCs w:val="24"/>
              </w:rPr>
              <w:t>Гагарина,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978-5-7433-3341-7.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http://www.iprbookshop.ru/108688.html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Дидактическое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учебника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https://urait.ru/bcode/471618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коммуникационные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Соликамск:</w:t>
            </w:r>
            <w:r>
              <w:rPr/>
              <w:t xml:space="preserve"> </w:t>
            </w:r>
            <w:r>
              <w:rPr>
                <w:rFonts w:ascii="Times New Roman" w:hAnsi="Times New Roman" w:cs="Times New Roman"/>
                <w:color w:val="#000000"/>
                <w:sz w:val="24"/>
                <w:szCs w:val="24"/>
              </w:rPr>
              <w:t>Соликамский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978-5-91252-082-2.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http://www.iprbookshop.ru/86547.html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2024-2025_ФГОС3++2024_Бак-ОФО-ПО2(РЯ иЛ)(24)_plx_Информационно- коммуникационные технологии в обучении русскому языку и литературе  </dc:title>
  <dc:creator>FastReport.NET</dc:creator>
</cp:coreProperties>
</file>